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447D4" w:rsidRPr="004447D4" w:rsidRDefault="004447D4" w:rsidP="004447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>Review Article</w:t>
      </w:r>
    </w:p>
    <w:p w:rsidR="004447D4" w:rsidRPr="004447D4" w:rsidRDefault="004447D4" w:rsidP="004447D4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bidi="si-LK"/>
        </w:rPr>
      </w:pPr>
      <w:r w:rsidRPr="004447D4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bidi="si-LK"/>
        </w:rPr>
        <w:t>Regulation of the cardiac muscle ryanodine receptor by glutathione transferases</w:t>
      </w:r>
    </w:p>
    <w:p w:rsidR="004447D4" w:rsidRPr="004447D4" w:rsidRDefault="004447D4" w:rsidP="004447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hyperlink r:id="rId5" w:history="1"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 xml:space="preserve">Angela F. </w:t>
        </w:r>
        <w:proofErr w:type="spellStart"/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Dulhunty</w:t>
        </w:r>
        <w:proofErr w:type="spellEnd"/>
      </w:hyperlink>
    </w:p>
    <w:p w:rsidR="004447D4" w:rsidRPr="004447D4" w:rsidRDefault="004447D4" w:rsidP="004447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hyperlink r:id="rId6" w:history="1"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 xml:space="preserve">Ruwani </w:t>
        </w:r>
        <w:proofErr w:type="spellStart"/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Hewawasam</w:t>
        </w:r>
        <w:proofErr w:type="spellEnd"/>
      </w:hyperlink>
    </w:p>
    <w:p w:rsidR="004447D4" w:rsidRPr="004447D4" w:rsidRDefault="004447D4" w:rsidP="004447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hyperlink r:id="rId7" w:history="1"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Dan Liu</w:t>
        </w:r>
      </w:hyperlink>
    </w:p>
    <w:p w:rsidR="004447D4" w:rsidRPr="004447D4" w:rsidRDefault="004447D4" w:rsidP="004447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hyperlink r:id="rId8" w:history="1"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Marco G. Casarotto</w:t>
        </w:r>
      </w:hyperlink>
    </w:p>
    <w:p w:rsidR="004447D4" w:rsidRPr="004447D4" w:rsidRDefault="004447D4" w:rsidP="004447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hyperlink r:id="rId9" w:history="1"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Philip G. Board</w:t>
        </w:r>
      </w:hyperlink>
    </w:p>
    <w:p w:rsidR="004447D4" w:rsidRPr="004447D4" w:rsidRDefault="004447D4" w:rsidP="004447D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>Pages 236-252 | Received 06 Dec 2010, Accepted 15 Dec 2010, Published online: 17 Feb 2011</w:t>
      </w:r>
    </w:p>
    <w:p w:rsidR="004447D4" w:rsidRPr="004447D4" w:rsidRDefault="004447D4" w:rsidP="004447D4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bidi="si-LK"/>
        </w:rPr>
      </w:pPr>
      <w:r w:rsidRPr="004447D4">
        <w:rPr>
          <w:rFonts w:ascii="Times New Roman" w:eastAsia="Times New Roman" w:hAnsi="Times New Roman" w:cs="Times New Roman"/>
          <w:b/>
          <w:bCs/>
          <w:sz w:val="36"/>
          <w:szCs w:val="36"/>
          <w:lang w:bidi="si-LK"/>
        </w:rPr>
        <w:t>Abstract</w:t>
      </w:r>
    </w:p>
    <w:p w:rsidR="004447D4" w:rsidRPr="004447D4" w:rsidRDefault="004447D4" w:rsidP="00C139E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>Glutathione transferases (GSTs) are generally recognized for their role in phase II detoxification reactions. However, it is becoming increasingly apparent that members of the GST family also have a diverse range of other functions that are, in general, unrelated to detoxification. One such action is a specific inhibition of the cardiac isoform of the ryanodine receptor (RyR2) intracellular Ca</w:t>
      </w:r>
      <w:r w:rsidRPr="004447D4">
        <w:rPr>
          <w:rFonts w:ascii="Times New Roman" w:eastAsia="Times New Roman" w:hAnsi="Times New Roman" w:cs="Times New Roman"/>
          <w:sz w:val="24"/>
          <w:szCs w:val="24"/>
          <w:vertAlign w:val="superscript"/>
          <w:lang w:bidi="si-LK"/>
        </w:rPr>
        <w:t>2+</w:t>
      </w:r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release channel. In this review, we compare functional and physical interactions between members of the GST family, including GSTO1-1, GSTA1-1, and GSTM2-2, with RyR2 and with the skeletal isoform of the ryanodine receptor (RyR1). The active part of the muscle-specific GSTM2-2 is localized to its nonenzymatic C-terminal α-helical bundle, centered around α-helix 6. The GSTM2-2 binding site is in divergent region 3 (DR3 region) of RyR2. The sequence differences between the DR3 regions of RyR1 and RyR2 explain the specificity of the GSTs for one isoform of the protein. GSTM2-2 is one of the few known endogenous inhibitors of the cardiac </w:t>
      </w:r>
      <w:proofErr w:type="spellStart"/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>RyR</w:t>
      </w:r>
      <w:proofErr w:type="spellEnd"/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and is likely to be important in maintaining low RyR2 activity during diastole. We discuss interactions between a nonenzymatic member of the GST structural family, the CLIC-2 (type 2 </w:t>
      </w:r>
      <w:r w:rsidRPr="004447D4">
        <w:rPr>
          <w:rFonts w:ascii="Times New Roman" w:eastAsia="Times New Roman" w:hAnsi="Times New Roman" w:cs="Times New Roman"/>
          <w:sz w:val="24"/>
          <w:szCs w:val="24"/>
          <w:u w:val="single"/>
          <w:lang w:bidi="si-LK"/>
        </w:rPr>
        <w:t>c</w:t>
      </w:r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>h</w:t>
      </w:r>
      <w:r w:rsidRPr="004447D4">
        <w:rPr>
          <w:rFonts w:ascii="Times New Roman" w:eastAsia="Times New Roman" w:hAnsi="Times New Roman" w:cs="Times New Roman"/>
          <w:sz w:val="24"/>
          <w:szCs w:val="24"/>
          <w:u w:val="single"/>
          <w:lang w:bidi="si-LK"/>
        </w:rPr>
        <w:t>l</w:t>
      </w:r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oride </w:t>
      </w:r>
      <w:r w:rsidRPr="004447D4">
        <w:rPr>
          <w:rFonts w:ascii="Times New Roman" w:eastAsia="Times New Roman" w:hAnsi="Times New Roman" w:cs="Times New Roman"/>
          <w:sz w:val="24"/>
          <w:szCs w:val="24"/>
          <w:u w:val="single"/>
          <w:lang w:bidi="si-LK"/>
        </w:rPr>
        <w:t>i</w:t>
      </w:r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ntracellular </w:t>
      </w:r>
      <w:r w:rsidRPr="004447D4">
        <w:rPr>
          <w:rFonts w:ascii="Times New Roman" w:eastAsia="Times New Roman" w:hAnsi="Times New Roman" w:cs="Times New Roman"/>
          <w:sz w:val="24"/>
          <w:szCs w:val="24"/>
          <w:u w:val="single"/>
          <w:lang w:bidi="si-LK"/>
        </w:rPr>
        <w:t>c</w:t>
      </w:r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hannel) protein, which inhibits both RyR1 and RyR2. The possibility that the GST and CLIC2 proteins bind to different sites on the </w:t>
      </w:r>
      <w:proofErr w:type="spellStart"/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>RyR</w:t>
      </w:r>
      <w:proofErr w:type="spellEnd"/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, and that different structures within the GST and CLIC proteins bind to </w:t>
      </w:r>
      <w:proofErr w:type="spellStart"/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>RyR</w:t>
      </w:r>
      <w:proofErr w:type="spellEnd"/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channels, is discussed. We conclude that the C-terminal part of GSTM2-2 may provide the basis of a therapeutic compound for use in cardiac disorders.</w:t>
      </w:r>
    </w:p>
    <w:p w:rsidR="004447D4" w:rsidRPr="004447D4" w:rsidRDefault="004447D4" w:rsidP="004447D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proofErr w:type="gramStart"/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>Keywords::</w:t>
      </w:r>
      <w:proofErr w:type="gramEnd"/>
      <w:r w:rsidRPr="004447D4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</w:t>
      </w:r>
    </w:p>
    <w:p w:rsidR="004447D4" w:rsidRPr="004447D4" w:rsidRDefault="004447D4" w:rsidP="004447D4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hyperlink r:id="rId10" w:history="1"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Inhibitors of cardiac ryanodine receptor</w:t>
        </w:r>
      </w:hyperlink>
    </w:p>
    <w:p w:rsidR="004447D4" w:rsidRPr="004447D4" w:rsidRDefault="004447D4" w:rsidP="004447D4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hyperlink r:id="rId11" w:history="1"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muscle-specific glutathione transferase</w:t>
        </w:r>
      </w:hyperlink>
    </w:p>
    <w:p w:rsidR="004447D4" w:rsidRPr="004447D4" w:rsidRDefault="004447D4" w:rsidP="004447D4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hyperlink r:id="rId12" w:history="1"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CLIC proteins</w:t>
        </w:r>
      </w:hyperlink>
    </w:p>
    <w:p w:rsidR="004447D4" w:rsidRPr="004447D4" w:rsidRDefault="004447D4" w:rsidP="004447D4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hyperlink r:id="rId13" w:history="1"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single-channel recording</w:t>
        </w:r>
      </w:hyperlink>
    </w:p>
    <w:p w:rsidR="004447D4" w:rsidRPr="004447D4" w:rsidRDefault="004447D4" w:rsidP="004447D4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hyperlink r:id="rId14" w:history="1"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three-dimensional structure</w:t>
        </w:r>
      </w:hyperlink>
    </w:p>
    <w:p w:rsidR="004447D4" w:rsidRPr="004447D4" w:rsidRDefault="004447D4" w:rsidP="004447D4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hyperlink r:id="rId15" w:history="1"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the DR3 region of RyR2</w:t>
        </w:r>
      </w:hyperlink>
    </w:p>
    <w:p w:rsidR="004447D4" w:rsidRPr="004447D4" w:rsidRDefault="004447D4" w:rsidP="004447D4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hyperlink r:id="rId16" w:history="1">
        <w:r w:rsidRPr="004447D4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heart failure</w:t>
        </w:r>
      </w:hyperlink>
    </w:p>
    <w:p w:rsidR="00611386" w:rsidRPr="00611386" w:rsidRDefault="00611386" w:rsidP="004447D4">
      <w:pPr>
        <w:rPr>
          <w:lang w:bidi="si-LK"/>
        </w:rPr>
      </w:pPr>
    </w:p>
    <w:sectPr w:rsidR="00611386" w:rsidRPr="00611386" w:rsidSect="00D64DF7">
      <w:pgSz w:w="12240" w:h="15840"/>
      <w:pgMar w:top="15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Iskoola Pota">
    <w:panose1 w:val="02010503010101010104"/>
    <w:charset w:val="00"/>
    <w:family w:val="auto"/>
    <w:pitch w:val="variable"/>
    <w:sig w:usb0="00000003" w:usb1="00000000" w:usb2="000002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7E2FBD"/>
    <w:multiLevelType w:val="multilevel"/>
    <w:tmpl w:val="21065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9531CB7"/>
    <w:multiLevelType w:val="multilevel"/>
    <w:tmpl w:val="C4F0C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99242F4"/>
    <w:multiLevelType w:val="multilevel"/>
    <w:tmpl w:val="AEF45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A58133F"/>
    <w:multiLevelType w:val="multilevel"/>
    <w:tmpl w:val="285CA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CB17F9F"/>
    <w:multiLevelType w:val="multilevel"/>
    <w:tmpl w:val="9CAE3B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4213924"/>
    <w:multiLevelType w:val="multilevel"/>
    <w:tmpl w:val="C84A3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84C2B4D"/>
    <w:multiLevelType w:val="multilevel"/>
    <w:tmpl w:val="D9CAB1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FFC2263"/>
    <w:multiLevelType w:val="multilevel"/>
    <w:tmpl w:val="E786A2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9052443"/>
    <w:multiLevelType w:val="multilevel"/>
    <w:tmpl w:val="B47C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DDD7954"/>
    <w:multiLevelType w:val="multilevel"/>
    <w:tmpl w:val="C5E68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DC54BF5"/>
    <w:multiLevelType w:val="multilevel"/>
    <w:tmpl w:val="5D642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91996550">
    <w:abstractNumId w:val="3"/>
  </w:num>
  <w:num w:numId="2" w16cid:durableId="1019889550">
    <w:abstractNumId w:val="0"/>
  </w:num>
  <w:num w:numId="3" w16cid:durableId="1531453607">
    <w:abstractNumId w:val="5"/>
  </w:num>
  <w:num w:numId="4" w16cid:durableId="68893678">
    <w:abstractNumId w:val="2"/>
  </w:num>
  <w:num w:numId="5" w16cid:durableId="45223670">
    <w:abstractNumId w:val="8"/>
  </w:num>
  <w:num w:numId="6" w16cid:durableId="1097673529">
    <w:abstractNumId w:val="7"/>
  </w:num>
  <w:num w:numId="7" w16cid:durableId="1475218467">
    <w:abstractNumId w:val="10"/>
  </w:num>
  <w:num w:numId="8" w16cid:durableId="1063523493">
    <w:abstractNumId w:val="6"/>
  </w:num>
  <w:num w:numId="9" w16cid:durableId="1460033680">
    <w:abstractNumId w:val="1"/>
  </w:num>
  <w:num w:numId="10" w16cid:durableId="435751398">
    <w:abstractNumId w:val="4"/>
  </w:num>
  <w:num w:numId="11" w16cid:durableId="8985957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C6B"/>
    <w:rsid w:val="00144113"/>
    <w:rsid w:val="001E2333"/>
    <w:rsid w:val="002B0C6B"/>
    <w:rsid w:val="003151C8"/>
    <w:rsid w:val="00343EF4"/>
    <w:rsid w:val="004447D4"/>
    <w:rsid w:val="004C65EE"/>
    <w:rsid w:val="004E619E"/>
    <w:rsid w:val="00611386"/>
    <w:rsid w:val="0061322A"/>
    <w:rsid w:val="00711522"/>
    <w:rsid w:val="00720A66"/>
    <w:rsid w:val="00841D44"/>
    <w:rsid w:val="008F6E31"/>
    <w:rsid w:val="00980E22"/>
    <w:rsid w:val="00B15089"/>
    <w:rsid w:val="00B36054"/>
    <w:rsid w:val="00B84ADA"/>
    <w:rsid w:val="00C139E1"/>
    <w:rsid w:val="00D371DC"/>
    <w:rsid w:val="00D64DF7"/>
    <w:rsid w:val="00DC2DBD"/>
    <w:rsid w:val="00ED5DD3"/>
    <w:rsid w:val="00F73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1E92C6"/>
  <w15:chartTrackingRefBased/>
  <w15:docId w15:val="{5D4AABC4-3C10-4EB3-941E-C7281EFB4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C2D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9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9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31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27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633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3449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3300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6218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3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1919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0143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85699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88506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36932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83439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42245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653292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824748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2160784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3461726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822700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964754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136914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212502877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6674466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6605008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75274728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6381937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613485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4926884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152056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55976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14534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12268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11329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584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071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642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02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3574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945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5581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4992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21836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2571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8972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74933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35401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36730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109004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888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6718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81653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01183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7329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5261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7284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43976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94254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291930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2514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592927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309589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217194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611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179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89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964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563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775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780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30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070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885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32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780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130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03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611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48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6826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4351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19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5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90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427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299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99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404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486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741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00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41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59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86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4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630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342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462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2840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57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04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188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225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2702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34144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26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86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04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51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781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8313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6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462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503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062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21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898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9482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0612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28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69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15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040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2506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89489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561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765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15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3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36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909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95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501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04757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8909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9478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29186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40228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68032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50794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3833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45725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53949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472275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7777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626670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5963188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331040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837553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96562667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50116391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106278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777026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41325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9894311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1729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948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62010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651255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80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268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047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484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9000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5882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56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3887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04189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75028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896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61051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47095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93976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4966973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1726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858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15449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2544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41244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26680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01414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85855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07523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78407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8069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18044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98542912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564720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27540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053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20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5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28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08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23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70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03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andfonline.com/author/Casarotto%2C+Marco+G" TargetMode="External"/><Relationship Id="rId13" Type="http://schemas.openxmlformats.org/officeDocument/2006/relationships/hyperlink" Target="https://www.tandfonline.com/keyword/single-channel+recording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tandfonline.com/author/Liu%2C+Dan" TargetMode="External"/><Relationship Id="rId12" Type="http://schemas.openxmlformats.org/officeDocument/2006/relationships/hyperlink" Target="https://www.tandfonline.com/keyword/CLIC+proteins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tandfonline.com/keyword/heart+failure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tandfonline.com/author/Hewawasam%2C+Ruwani" TargetMode="External"/><Relationship Id="rId11" Type="http://schemas.openxmlformats.org/officeDocument/2006/relationships/hyperlink" Target="https://www.tandfonline.com/keyword/muscle-specific+glutathione+transferase" TargetMode="External"/><Relationship Id="rId5" Type="http://schemas.openxmlformats.org/officeDocument/2006/relationships/hyperlink" Target="https://www.tandfonline.com/author/Dulhunty%2C+Angela+F" TargetMode="External"/><Relationship Id="rId15" Type="http://schemas.openxmlformats.org/officeDocument/2006/relationships/hyperlink" Target="https://www.tandfonline.com/keyword/the+DR3+region+of+RyR2" TargetMode="External"/><Relationship Id="rId10" Type="http://schemas.openxmlformats.org/officeDocument/2006/relationships/hyperlink" Target="https://www.tandfonline.com/keyword/Inhibitors+of+cardiac+ryanodine+recepto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tandfonline.com/author/Board%2C+Philip+G" TargetMode="External"/><Relationship Id="rId14" Type="http://schemas.openxmlformats.org/officeDocument/2006/relationships/hyperlink" Target="https://www.tandfonline.com/keyword/three-dimensional+structur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2025-01-19T08:12:00Z</dcterms:created>
  <dcterms:modified xsi:type="dcterms:W3CDTF">2025-01-19T08:12:00Z</dcterms:modified>
</cp:coreProperties>
</file>